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0344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2453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Ахмедгариевой </w:t>
      </w:r>
      <w:r>
        <w:rPr>
          <w:rFonts w:ascii="Times New Roman" w:eastAsia="Times New Roman" w:hAnsi="Times New Roman" w:cs="Times New Roman"/>
          <w:sz w:val="28"/>
          <w:szCs w:val="28"/>
        </w:rPr>
        <w:t>Фиризы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Рамилевны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Ахмедгариев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5, д. 2/1, кв. 162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нанесла свое несовершеннолетней дочери Ахмедгариевой Р.Р. 02.01.2022 г. рождения побои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Ахмедгариев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Ахмедгариева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признала, с правонарушением согласна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Ахмедгариев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заключением эксперта №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Ахмедгариевой Ф.Р.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>, фото фиксацией, актом обследования семейно-бытовых условий жизни,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информацией, предоставленной БУ «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Ахмедгариев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редставленные по данному делу доказательства были оценены в совокупности с другими материалами дела об административном правонарушении 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Ахмедгариевой Ф.Р.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Ахмедгариев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Фириз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Рамилевн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Ахмедгариевой Ф.Р.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0412365400325003442606159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0344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23">
    <w:name w:val="cat-UserDefined grp-34 rplc-23"/>
    <w:basedOn w:val="DefaultParagraphFont"/>
  </w:style>
  <w:style w:type="character" w:customStyle="1" w:styleId="cat-UserDefinedgrp-35rplc-25">
    <w:name w:val="cat-UserDefined grp-35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